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70" w:rsidRPr="00D34270" w:rsidRDefault="00A75DEF" w:rsidP="00533DF6">
      <w:pPr>
        <w:tabs>
          <w:tab w:val="left" w:pos="360"/>
        </w:tabs>
        <w:ind w:right="-360"/>
        <w:jc w:val="center"/>
        <w:rPr>
          <w:b/>
          <w:sz w:val="40"/>
        </w:rPr>
      </w:pPr>
      <w:r>
        <w:rPr>
          <w:b/>
          <w:sz w:val="40"/>
        </w:rPr>
        <w:t>Turtle 6</w:t>
      </w:r>
    </w:p>
    <w:p w:rsidR="00D34270" w:rsidRPr="00D34270" w:rsidRDefault="00D34270" w:rsidP="00533DF6">
      <w:pPr>
        <w:tabs>
          <w:tab w:val="left" w:pos="360"/>
        </w:tabs>
        <w:ind w:right="-360"/>
        <w:jc w:val="center"/>
        <w:rPr>
          <w:sz w:val="28"/>
        </w:rPr>
      </w:pPr>
      <w:r>
        <w:rPr>
          <w:sz w:val="28"/>
        </w:rPr>
        <w:t>Student Support Resources</w:t>
      </w:r>
    </w:p>
    <w:p w:rsidR="00D34270" w:rsidRDefault="00D34270" w:rsidP="00533DF6">
      <w:pPr>
        <w:tabs>
          <w:tab w:val="left" w:pos="360"/>
        </w:tabs>
        <w:ind w:right="-360"/>
        <w:jc w:val="center"/>
      </w:pPr>
    </w:p>
    <w:p w:rsidR="004A637D" w:rsidRDefault="004A637D" w:rsidP="00533DF6">
      <w:pPr>
        <w:ind w:right="-360"/>
        <w:rPr>
          <w:b/>
        </w:rPr>
      </w:pPr>
      <w:r>
        <w:rPr>
          <w:b/>
        </w:rPr>
        <w:t>Summary:</w:t>
      </w:r>
    </w:p>
    <w:p w:rsidR="00E05D8D" w:rsidRDefault="004A637D" w:rsidP="00533DF6">
      <w:pPr>
        <w:ind w:right="-360"/>
      </w:pPr>
      <w:r>
        <w:t xml:space="preserve">This group is responsible for explaining how the college’s </w:t>
      </w:r>
      <w:r w:rsidR="00A42662">
        <w:t xml:space="preserve">student </w:t>
      </w:r>
      <w:r w:rsidR="00A42662" w:rsidRPr="00D0395F">
        <w:t xml:space="preserve">support services </w:t>
      </w:r>
      <w:r w:rsidR="007A25BA" w:rsidRPr="00D0395F">
        <w:t xml:space="preserve">reinforce </w:t>
      </w:r>
      <w:r w:rsidR="00E05D8D" w:rsidRPr="00D0395F">
        <w:t>and integrate the college’s core themes</w:t>
      </w:r>
      <w:r w:rsidRPr="00D0395F">
        <w:t xml:space="preserve">. </w:t>
      </w:r>
      <w:r w:rsidR="00E05D8D" w:rsidRPr="00D0395F">
        <w:t xml:space="preserve">This team will be writing the portion of the report that </w:t>
      </w:r>
      <w:r w:rsidR="0076094D" w:rsidRPr="00D0395F">
        <w:t>will</w:t>
      </w:r>
      <w:r>
        <w:t xml:space="preserve"> address </w:t>
      </w:r>
      <w:r w:rsidR="004B113B">
        <w:t xml:space="preserve">how the college provides effective learning environments; information about classes and programs; graduation requirements; and </w:t>
      </w:r>
      <w:r w:rsidR="00D0395F">
        <w:t xml:space="preserve">ensures </w:t>
      </w:r>
      <w:r w:rsidR="004B113B">
        <w:t xml:space="preserve">confidentiality of student information. This portion of the report will also explain the policies and practices related to retention of records; financial aid eligibility and disbursement; and distance learning. </w:t>
      </w:r>
      <w:r w:rsidR="00E05D8D">
        <w:t>In addition, this team will address how the college operates its academic advising in a manner that</w:t>
      </w:r>
      <w:r w:rsidR="00E05D8D" w:rsidRPr="00D34270">
        <w:t xml:space="preserve"> support</w:t>
      </w:r>
      <w:r w:rsidR="00E05D8D">
        <w:t>s</w:t>
      </w:r>
      <w:r w:rsidR="00E05D8D" w:rsidRPr="00D34270">
        <w:t xml:space="preserve"> student development and </w:t>
      </w:r>
      <w:r w:rsidR="00E05D8D" w:rsidRPr="00D0395F">
        <w:t xml:space="preserve">success. Finally, it will report on how the intercollegiate athletic and other co-curricular programs </w:t>
      </w:r>
      <w:r w:rsidR="007A25BA" w:rsidRPr="00D0395F">
        <w:t xml:space="preserve">are </w:t>
      </w:r>
      <w:r w:rsidR="00E05D8D" w:rsidRPr="00D0395F">
        <w:t>consistent</w:t>
      </w:r>
      <w:r w:rsidR="00E05D8D" w:rsidRPr="00D34270">
        <w:t xml:space="preserve"> with the institution’s mission and conducted with appropriate institutional oversight</w:t>
      </w:r>
      <w:r w:rsidR="00E05D8D">
        <w:t>.</w:t>
      </w:r>
    </w:p>
    <w:p w:rsidR="00E05D8D" w:rsidRDefault="00E05D8D" w:rsidP="00533DF6">
      <w:pPr>
        <w:ind w:right="-360"/>
      </w:pPr>
    </w:p>
    <w:p w:rsidR="00D34270" w:rsidRPr="00D34270" w:rsidRDefault="00E05D8D" w:rsidP="00533DF6">
      <w:pPr>
        <w:ind w:right="-360"/>
      </w:pPr>
      <w:r>
        <w:rPr>
          <w:b/>
        </w:rPr>
        <w:t>The group will address in the written report the following specific a</w:t>
      </w:r>
      <w:r w:rsidRPr="00F93564">
        <w:rPr>
          <w:b/>
        </w:rPr>
        <w:t xml:space="preserve">ccreditation </w:t>
      </w:r>
      <w:r>
        <w:rPr>
          <w:b/>
        </w:rPr>
        <w:t>s</w:t>
      </w:r>
      <w:r w:rsidRPr="00F93564">
        <w:rPr>
          <w:b/>
        </w:rPr>
        <w:t>tandard</w:t>
      </w:r>
      <w:r>
        <w:rPr>
          <w:b/>
        </w:rPr>
        <w:t>s</w:t>
      </w:r>
      <w:r w:rsidRPr="00F93564">
        <w:rPr>
          <w:b/>
        </w:rPr>
        <w:t xml:space="preserve"> </w:t>
      </w:r>
      <w:r>
        <w:rPr>
          <w:b/>
        </w:rPr>
        <w:t>r</w:t>
      </w:r>
      <w:r w:rsidRPr="00F93564">
        <w:rPr>
          <w:b/>
        </w:rPr>
        <w:t xml:space="preserve">elated to </w:t>
      </w:r>
      <w:r>
        <w:rPr>
          <w:b/>
        </w:rPr>
        <w:t>s</w:t>
      </w:r>
      <w:r w:rsidR="00D34270" w:rsidRPr="00D34270">
        <w:rPr>
          <w:b/>
          <w:bCs/>
        </w:rPr>
        <w:t xml:space="preserve">tudent </w:t>
      </w:r>
      <w:r>
        <w:rPr>
          <w:b/>
          <w:bCs/>
        </w:rPr>
        <w:t>s</w:t>
      </w:r>
      <w:r w:rsidR="00D34270" w:rsidRPr="00D34270">
        <w:rPr>
          <w:b/>
          <w:bCs/>
        </w:rPr>
        <w:t xml:space="preserve">upport </w:t>
      </w:r>
      <w:r>
        <w:rPr>
          <w:b/>
          <w:bCs/>
        </w:rPr>
        <w:t>r</w:t>
      </w:r>
      <w:r w:rsidR="00D34270" w:rsidRPr="00D34270">
        <w:rPr>
          <w:b/>
          <w:bCs/>
        </w:rPr>
        <w:t>esources</w:t>
      </w:r>
    </w:p>
    <w:p w:rsidR="00BB15D4" w:rsidRPr="00BB15D4" w:rsidRDefault="00BB15D4" w:rsidP="00BB15D4">
      <w:pPr>
        <w:spacing w:before="0"/>
        <w:rPr>
          <w:rFonts w:eastAsia="Times New Roman" w:cs="Arial"/>
        </w:rPr>
      </w:pPr>
      <w:proofErr w:type="spellStart"/>
      <w:proofErr w:type="gramStart"/>
      <w:r w:rsidRPr="00BB15D4">
        <w:rPr>
          <w:rFonts w:eastAsia="Times New Roman" w:cs="Arial"/>
        </w:rPr>
        <w:t>2.A.15</w:t>
      </w:r>
      <w:proofErr w:type="spellEnd"/>
      <w:proofErr w:type="gramEnd"/>
    </w:p>
    <w:p w:rsidR="00BB15D4" w:rsidRPr="00BB15D4" w:rsidRDefault="00BB15D4" w:rsidP="00BB15D4">
      <w:pPr>
        <w:spacing w:before="0"/>
        <w:rPr>
          <w:rFonts w:eastAsia="Times New Roman" w:cs="Arial"/>
        </w:rPr>
      </w:pPr>
      <w:r w:rsidRPr="00BB15D4">
        <w:rPr>
          <w:rFonts w:eastAsia="Times New Roman" w:cs="Arial"/>
        </w:rPr>
        <w:t>Policies and procedures regarding students’ rights and responsibilities—including academic honesty, appeals, grievan</w:t>
      </w:r>
      <w:bookmarkStart w:id="0" w:name="_GoBack"/>
      <w:bookmarkEnd w:id="0"/>
      <w:r w:rsidRPr="00BB15D4">
        <w:rPr>
          <w:rFonts w:eastAsia="Times New Roman" w:cs="Arial"/>
        </w:rPr>
        <w:t>ces, and accommodations for persons with disabilities—are clearly stated, readily available, and administered in a fair and consistent manner.</w:t>
      </w:r>
    </w:p>
    <w:p w:rsidR="00BB15D4" w:rsidRPr="00BB15D4" w:rsidRDefault="00BB15D4" w:rsidP="00BB15D4">
      <w:pPr>
        <w:spacing w:before="0"/>
        <w:rPr>
          <w:rFonts w:eastAsia="Times New Roman" w:cs="Arial"/>
        </w:rPr>
      </w:pPr>
      <w:proofErr w:type="spellStart"/>
      <w:proofErr w:type="gramStart"/>
      <w:r w:rsidRPr="00BB15D4">
        <w:rPr>
          <w:rFonts w:eastAsia="Times New Roman" w:cs="Arial"/>
        </w:rPr>
        <w:t>2.A.16</w:t>
      </w:r>
      <w:proofErr w:type="spellEnd"/>
      <w:proofErr w:type="gramEnd"/>
    </w:p>
    <w:p w:rsidR="00BB15D4" w:rsidRPr="00BB15D4" w:rsidRDefault="00BB15D4" w:rsidP="00BB15D4">
      <w:pPr>
        <w:spacing w:before="0"/>
        <w:rPr>
          <w:rFonts w:eastAsia="Times New Roman" w:cs="Arial"/>
        </w:rPr>
      </w:pPr>
      <w:r w:rsidRPr="00BB15D4">
        <w:rPr>
          <w:rFonts w:eastAsia="Times New Roman" w:cs="Arial"/>
        </w:rPr>
        <w:t>The institution adopts and adheres to admission and placement policies that guide the enrollment of students in courses and programs through an evaluation of prerequisite knowledge, skills, and abilities to assure a reasonable probability of student success at a level commensurate with the institution’s expectations. Its policy regarding continuation in and termination from its educational programs—including its appeals process and readmission policy—are clearly defined, widely published, and administered in a fair and timely manner.</w:t>
      </w:r>
    </w:p>
    <w:p w:rsidR="00BB15D4" w:rsidRPr="00BB15D4" w:rsidRDefault="00BB15D4" w:rsidP="00BB15D4">
      <w:pPr>
        <w:spacing w:before="0"/>
        <w:rPr>
          <w:rFonts w:eastAsia="Times New Roman" w:cs="Arial"/>
        </w:rPr>
      </w:pPr>
      <w:proofErr w:type="spellStart"/>
      <w:proofErr w:type="gramStart"/>
      <w:r w:rsidRPr="00BB15D4">
        <w:rPr>
          <w:rFonts w:eastAsia="Times New Roman" w:cs="Arial"/>
        </w:rPr>
        <w:t>2.A.17</w:t>
      </w:r>
      <w:proofErr w:type="spellEnd"/>
      <w:proofErr w:type="gramEnd"/>
    </w:p>
    <w:p w:rsidR="00BB15D4" w:rsidRDefault="00BB15D4" w:rsidP="00BB15D4">
      <w:pPr>
        <w:ind w:right="-360"/>
        <w:rPr>
          <w:rFonts w:eastAsia="Times New Roman" w:cs="Arial"/>
        </w:rPr>
      </w:pPr>
      <w:r w:rsidRPr="00BB15D4">
        <w:rPr>
          <w:rFonts w:eastAsia="Times New Roman" w:cs="Arial"/>
        </w:rPr>
        <w:t>The institution maintains and publishes policies that clearly state its relationship to co-curricular activities and the roles and responsibilities of students and the institution for those activities, including student publications and other student media, if offered.</w:t>
      </w:r>
    </w:p>
    <w:p w:rsidR="00D34270" w:rsidRPr="00BB15D4" w:rsidRDefault="00D34270" w:rsidP="00BB15D4">
      <w:pPr>
        <w:ind w:right="-360"/>
      </w:pPr>
      <w:proofErr w:type="spellStart"/>
      <w:proofErr w:type="gramStart"/>
      <w:r w:rsidRPr="00BB15D4">
        <w:lastRenderedPageBreak/>
        <w:t>2.D.1</w:t>
      </w:r>
      <w:proofErr w:type="spellEnd"/>
      <w:proofErr w:type="gramEnd"/>
    </w:p>
    <w:p w:rsidR="00D34270" w:rsidRPr="00BB15D4" w:rsidRDefault="00D34270" w:rsidP="00533DF6">
      <w:pPr>
        <w:ind w:right="-360"/>
      </w:pPr>
      <w:r w:rsidRPr="00BB15D4">
        <w:t>Consistent with the nature of its educational programs and methods of delivery, the institution creates effective learning environments with appropriate programs and services to support student learning needs.</w:t>
      </w:r>
    </w:p>
    <w:p w:rsidR="00D34270" w:rsidRPr="00BB15D4" w:rsidRDefault="00D34270" w:rsidP="00533DF6">
      <w:pPr>
        <w:ind w:right="-360"/>
      </w:pPr>
      <w:proofErr w:type="gramStart"/>
      <w:r w:rsidRPr="00BB15D4">
        <w:t>2.D.2</w:t>
      </w:r>
      <w:proofErr w:type="gramEnd"/>
    </w:p>
    <w:p w:rsidR="00D34270" w:rsidRPr="00D34270" w:rsidRDefault="00D34270" w:rsidP="00533DF6">
      <w:pPr>
        <w:ind w:right="-360"/>
      </w:pPr>
      <w:r w:rsidRPr="00BB15D4">
        <w:t>The institution makes adequate provision for the safety and security of its students and their property at all locations where it offers programs and services. Crime statistics, campus security</w:t>
      </w:r>
      <w:r w:rsidRPr="00D34270">
        <w:t xml:space="preserve"> policies, and other disclosures required under federal and state regulations are made available in accordance with those regulations.</w:t>
      </w:r>
    </w:p>
    <w:p w:rsidR="00D34270" w:rsidRPr="00D34270" w:rsidRDefault="00D34270" w:rsidP="00533DF6">
      <w:pPr>
        <w:ind w:right="-360"/>
      </w:pPr>
      <w:proofErr w:type="gramStart"/>
      <w:r w:rsidRPr="00D34270">
        <w:t>2.D.3</w:t>
      </w:r>
      <w:proofErr w:type="gramEnd"/>
    </w:p>
    <w:p w:rsidR="004B113B" w:rsidRDefault="00D34270" w:rsidP="004B113B">
      <w:pPr>
        <w:ind w:right="-360"/>
      </w:pPr>
      <w:r w:rsidRPr="00D34270">
        <w:t>Consistent with its mission, core themes, and characteristics, the institution recruits and admits students with the potential to benefit from its educational offerings. It orients students to ensure they understand the requirements related to their programs of study and receive timely, useful, and accurate information and advising about relevant academic requirements, including graduation and transfer policies.</w:t>
      </w:r>
    </w:p>
    <w:p w:rsidR="00D34270" w:rsidRPr="00D34270" w:rsidRDefault="00D34270" w:rsidP="00533DF6">
      <w:pPr>
        <w:ind w:right="-360"/>
      </w:pPr>
      <w:proofErr w:type="gramStart"/>
      <w:r w:rsidRPr="00D34270">
        <w:t>2.D.4</w:t>
      </w:r>
      <w:proofErr w:type="gramEnd"/>
    </w:p>
    <w:p w:rsidR="00D34270" w:rsidRPr="00D34270" w:rsidRDefault="00D34270" w:rsidP="00533DF6">
      <w:pPr>
        <w:ind w:right="-360"/>
      </w:pPr>
      <w:r w:rsidRPr="00D34270">
        <w:t>In the event of program elimination or significant change in requirements, the institution makes appropriate arrangements to ensure that students enrolled in the program have an opportunity to complete their program in a timely manner with a minimum of disruption.</w:t>
      </w:r>
    </w:p>
    <w:p w:rsidR="00D34270" w:rsidRPr="00D34270" w:rsidRDefault="00D34270" w:rsidP="00533DF6">
      <w:pPr>
        <w:ind w:right="-360"/>
      </w:pPr>
      <w:proofErr w:type="gramStart"/>
      <w:r w:rsidRPr="00D34270">
        <w:t>2.D.5</w:t>
      </w:r>
      <w:proofErr w:type="gramEnd"/>
    </w:p>
    <w:p w:rsidR="00D34270" w:rsidRPr="00D34270" w:rsidRDefault="00D34270" w:rsidP="00533DF6">
      <w:pPr>
        <w:ind w:right="-360"/>
      </w:pPr>
      <w:r w:rsidRPr="00D34270">
        <w:t>The institution publishes in a catalog, or provides in a manner reasonably available to students and other stakeholders, current and accurate information that includes:</w:t>
      </w:r>
    </w:p>
    <w:p w:rsidR="00D34270" w:rsidRDefault="00D34270" w:rsidP="00533DF6">
      <w:pPr>
        <w:pStyle w:val="ListParagraph"/>
        <w:numPr>
          <w:ilvl w:val="0"/>
          <w:numId w:val="1"/>
        </w:numPr>
        <w:ind w:right="-360"/>
      </w:pPr>
      <w:r w:rsidRPr="00D34270">
        <w:t>Institutional mission and core themes</w:t>
      </w:r>
    </w:p>
    <w:p w:rsidR="00D34270" w:rsidRDefault="00D34270" w:rsidP="00533DF6">
      <w:pPr>
        <w:pStyle w:val="ListParagraph"/>
        <w:numPr>
          <w:ilvl w:val="0"/>
          <w:numId w:val="1"/>
        </w:numPr>
        <w:ind w:right="-360"/>
      </w:pPr>
      <w:r w:rsidRPr="00D34270">
        <w:t>Entrance requirements and procedures;</w:t>
      </w:r>
    </w:p>
    <w:p w:rsidR="00D34270" w:rsidRDefault="00D34270" w:rsidP="00533DF6">
      <w:pPr>
        <w:pStyle w:val="ListParagraph"/>
        <w:numPr>
          <w:ilvl w:val="0"/>
          <w:numId w:val="1"/>
        </w:numPr>
        <w:ind w:right="-360"/>
      </w:pPr>
      <w:r w:rsidRPr="00D34270">
        <w:t>Grading policy;</w:t>
      </w:r>
    </w:p>
    <w:p w:rsidR="00D34270" w:rsidRDefault="00D34270" w:rsidP="00533DF6">
      <w:pPr>
        <w:pStyle w:val="ListParagraph"/>
        <w:numPr>
          <w:ilvl w:val="0"/>
          <w:numId w:val="1"/>
        </w:numPr>
        <w:ind w:right="-360"/>
      </w:pPr>
      <w:r w:rsidRPr="00D34270">
        <w:t>Information on academic programs and courses, including degree and program completion requirements, expected learning outcomes, required course sequences, and projected timelines to completion based on normal student progress and the frequency of course offerings;</w:t>
      </w:r>
    </w:p>
    <w:p w:rsidR="00D34270" w:rsidRDefault="00D34270" w:rsidP="00533DF6">
      <w:pPr>
        <w:pStyle w:val="ListParagraph"/>
        <w:numPr>
          <w:ilvl w:val="0"/>
          <w:numId w:val="1"/>
        </w:numPr>
        <w:ind w:right="-360"/>
      </w:pPr>
      <w:r w:rsidRPr="00D34270">
        <w:t>Names, titles, degrees held, and conferring institutions for administrators and full-time faculty;</w:t>
      </w:r>
    </w:p>
    <w:p w:rsidR="00D34270" w:rsidRDefault="00D34270" w:rsidP="00533DF6">
      <w:pPr>
        <w:pStyle w:val="ListParagraph"/>
        <w:numPr>
          <w:ilvl w:val="0"/>
          <w:numId w:val="1"/>
        </w:numPr>
        <w:ind w:right="-360"/>
      </w:pPr>
      <w:r w:rsidRPr="00D34270">
        <w:t>Rules, regulations for conduct, rights, and responsibilities;</w:t>
      </w:r>
    </w:p>
    <w:p w:rsidR="00D34270" w:rsidRDefault="00D34270" w:rsidP="00533DF6">
      <w:pPr>
        <w:pStyle w:val="ListParagraph"/>
        <w:numPr>
          <w:ilvl w:val="0"/>
          <w:numId w:val="1"/>
        </w:numPr>
        <w:ind w:right="-360"/>
      </w:pPr>
      <w:r w:rsidRPr="00D34270">
        <w:lastRenderedPageBreak/>
        <w:t>Tuition, fees, and other program costs;</w:t>
      </w:r>
    </w:p>
    <w:p w:rsidR="00D34270" w:rsidRDefault="00D34270" w:rsidP="00533DF6">
      <w:pPr>
        <w:pStyle w:val="ListParagraph"/>
        <w:numPr>
          <w:ilvl w:val="0"/>
          <w:numId w:val="1"/>
        </w:numPr>
        <w:ind w:right="-360"/>
      </w:pPr>
      <w:r w:rsidRPr="00D34270">
        <w:t>Refund policies and procedures for students who withdraw from enrollment;</w:t>
      </w:r>
    </w:p>
    <w:p w:rsidR="00D34270" w:rsidRDefault="00D34270" w:rsidP="00533DF6">
      <w:pPr>
        <w:pStyle w:val="ListParagraph"/>
        <w:numPr>
          <w:ilvl w:val="0"/>
          <w:numId w:val="1"/>
        </w:numPr>
        <w:ind w:right="-360"/>
      </w:pPr>
      <w:r w:rsidRPr="00D34270">
        <w:t>Opportunities and requirements for financial aid; and</w:t>
      </w:r>
    </w:p>
    <w:p w:rsidR="00D34270" w:rsidRPr="00D34270" w:rsidRDefault="00D34270" w:rsidP="00533DF6">
      <w:pPr>
        <w:pStyle w:val="ListParagraph"/>
        <w:numPr>
          <w:ilvl w:val="0"/>
          <w:numId w:val="1"/>
        </w:numPr>
        <w:ind w:right="-360"/>
      </w:pPr>
      <w:r w:rsidRPr="00D34270">
        <w:t>Academic calendar.</w:t>
      </w:r>
    </w:p>
    <w:p w:rsidR="00D34270" w:rsidRPr="00D34270" w:rsidRDefault="00D34270" w:rsidP="00533DF6">
      <w:pPr>
        <w:ind w:right="-360"/>
      </w:pPr>
      <w:proofErr w:type="gramStart"/>
      <w:r w:rsidRPr="00D34270">
        <w:t>2.D.6</w:t>
      </w:r>
      <w:proofErr w:type="gramEnd"/>
    </w:p>
    <w:p w:rsidR="00D34270" w:rsidRPr="00D34270" w:rsidRDefault="00D34270" w:rsidP="00533DF6">
      <w:pPr>
        <w:ind w:right="-360"/>
      </w:pPr>
      <w:r w:rsidRPr="00D34270">
        <w:t>Publications describing educational programs include accurate information on:</w:t>
      </w:r>
    </w:p>
    <w:p w:rsidR="00D34270" w:rsidRDefault="00D34270" w:rsidP="00533DF6">
      <w:pPr>
        <w:pStyle w:val="ListParagraph"/>
        <w:numPr>
          <w:ilvl w:val="0"/>
          <w:numId w:val="2"/>
        </w:numPr>
        <w:ind w:right="-360"/>
      </w:pPr>
      <w:r w:rsidRPr="00D34270">
        <w:t>National and/or state legal eligibility requirements for licensure or entry into an occupation or profession for which education and training are offered;</w:t>
      </w:r>
    </w:p>
    <w:p w:rsidR="00D34270" w:rsidRPr="00D34270" w:rsidRDefault="00D34270" w:rsidP="00533DF6">
      <w:pPr>
        <w:pStyle w:val="ListParagraph"/>
        <w:numPr>
          <w:ilvl w:val="0"/>
          <w:numId w:val="2"/>
        </w:numPr>
        <w:ind w:right="-360"/>
      </w:pPr>
      <w:r w:rsidRPr="00D34270">
        <w:t>Descriptions of unique requirements for employment and advancement in the occupation or profession.</w:t>
      </w:r>
    </w:p>
    <w:p w:rsidR="00D34270" w:rsidRPr="00D34270" w:rsidRDefault="00D34270" w:rsidP="00533DF6">
      <w:pPr>
        <w:ind w:right="-360"/>
      </w:pPr>
      <w:proofErr w:type="gramStart"/>
      <w:r w:rsidRPr="00D34270">
        <w:t>2.D.7</w:t>
      </w:r>
      <w:proofErr w:type="gramEnd"/>
    </w:p>
    <w:p w:rsidR="00D34270" w:rsidRPr="00D34270" w:rsidRDefault="00D34270" w:rsidP="00533DF6">
      <w:pPr>
        <w:ind w:right="-360"/>
      </w:pPr>
      <w:r w:rsidRPr="00D34270">
        <w:t>The institution adopts and adheres to policies and procedures regarding the secure retention of student records, including provision for reliable and retrievable backup of those records, regardless of their form. The institution publishes and follows established policies for confidentiality and release of student records.</w:t>
      </w:r>
    </w:p>
    <w:p w:rsidR="00D34270" w:rsidRPr="00D34270" w:rsidRDefault="00D34270" w:rsidP="00533DF6">
      <w:pPr>
        <w:ind w:right="-360"/>
      </w:pPr>
      <w:proofErr w:type="gramStart"/>
      <w:r w:rsidRPr="00D34270">
        <w:t>2.D.8</w:t>
      </w:r>
      <w:proofErr w:type="gramEnd"/>
    </w:p>
    <w:p w:rsidR="00D34270" w:rsidRPr="00D34270" w:rsidRDefault="00D34270" w:rsidP="00533DF6">
      <w:pPr>
        <w:ind w:right="-360"/>
      </w:pPr>
      <w:r w:rsidRPr="00D34270">
        <w:t>The institution provides an effective and accountable program of financial aid consistent with its mission, student needs, and institutional resources. Information regarding the categories of financial assistance (such as scholarships, grants, and loans) is published and made available to prospective and enrolled students.</w:t>
      </w:r>
    </w:p>
    <w:p w:rsidR="00D34270" w:rsidRPr="00D34270" w:rsidRDefault="00D34270" w:rsidP="00533DF6">
      <w:pPr>
        <w:ind w:right="-360"/>
      </w:pPr>
      <w:proofErr w:type="gramStart"/>
      <w:r w:rsidRPr="00D34270">
        <w:t>2.D.9</w:t>
      </w:r>
      <w:proofErr w:type="gramEnd"/>
    </w:p>
    <w:p w:rsidR="00D34270" w:rsidRPr="00D34270" w:rsidRDefault="00D34270" w:rsidP="00533DF6">
      <w:pPr>
        <w:ind w:right="-360"/>
      </w:pPr>
      <w:r w:rsidRPr="00D34270">
        <w:t>Students receiving financial assistance are informed of any repayment obligations. The institution regularly monitors its student loan programs and the institution’s loan default rate.</w:t>
      </w:r>
    </w:p>
    <w:p w:rsidR="00D34270" w:rsidRPr="00D34270" w:rsidRDefault="00D34270" w:rsidP="00533DF6">
      <w:pPr>
        <w:ind w:right="-360"/>
      </w:pPr>
      <w:proofErr w:type="gramStart"/>
      <w:r w:rsidRPr="00D34270">
        <w:t>2.D.10</w:t>
      </w:r>
      <w:proofErr w:type="gramEnd"/>
    </w:p>
    <w:p w:rsidR="00D34270" w:rsidRPr="00D34270" w:rsidRDefault="00D34270" w:rsidP="00533DF6">
      <w:pPr>
        <w:ind w:right="-360"/>
      </w:pPr>
      <w:r w:rsidRPr="00D34270">
        <w:t>The institution designs, maintains, and evaluates a systematic and effective program of academic advisement to support student development and success. Personnel responsible for advising students are knowledgeable of the curriculum, program requirements, and graduation requirements and are adequately prepared to successfully fulfill their responsibilities. Advising requirements and responsibilities are defined, published, and made available to students.</w:t>
      </w:r>
    </w:p>
    <w:p w:rsidR="00D34270" w:rsidRPr="00D34270" w:rsidRDefault="00D34270" w:rsidP="00533DF6">
      <w:pPr>
        <w:ind w:right="-360"/>
      </w:pPr>
      <w:proofErr w:type="gramStart"/>
      <w:r w:rsidRPr="00D34270">
        <w:t>2.D.11</w:t>
      </w:r>
      <w:proofErr w:type="gramEnd"/>
    </w:p>
    <w:p w:rsidR="00D34270" w:rsidRPr="00D34270" w:rsidRDefault="00D34270" w:rsidP="00533DF6">
      <w:pPr>
        <w:ind w:right="-360"/>
      </w:pPr>
      <w:r w:rsidRPr="00D34270">
        <w:t>Co-curricular activities are consistent with the institution’s mission, core themes, programs, and services and are governed appropriately.</w:t>
      </w:r>
    </w:p>
    <w:p w:rsidR="00D34270" w:rsidRPr="00D34270" w:rsidRDefault="00D34270" w:rsidP="00533DF6">
      <w:pPr>
        <w:ind w:right="-360"/>
      </w:pPr>
      <w:proofErr w:type="gramStart"/>
      <w:r w:rsidRPr="00D34270">
        <w:lastRenderedPageBreak/>
        <w:t>2.D.12</w:t>
      </w:r>
      <w:proofErr w:type="gramEnd"/>
    </w:p>
    <w:p w:rsidR="00D34270" w:rsidRPr="00D34270" w:rsidRDefault="00D34270" w:rsidP="00533DF6">
      <w:pPr>
        <w:ind w:right="-360"/>
      </w:pPr>
      <w:r w:rsidRPr="00D34270">
        <w:t>If the institution operates auxiliary services (such as student housing, food service, and bookstore), they support the institution’s mission, contribute to the intellectual climate of the campus community, and enhance the quality of the learning environment. Students, faculty, staff, and administrators have opportunities for input regarding these services.</w:t>
      </w:r>
    </w:p>
    <w:p w:rsidR="00D34270" w:rsidRPr="00D34270" w:rsidRDefault="00D34270" w:rsidP="00533DF6">
      <w:pPr>
        <w:ind w:right="-360"/>
      </w:pPr>
      <w:proofErr w:type="gramStart"/>
      <w:r w:rsidRPr="00D34270">
        <w:t>2.D.13</w:t>
      </w:r>
      <w:proofErr w:type="gramEnd"/>
    </w:p>
    <w:p w:rsidR="00D34270" w:rsidRPr="00D34270" w:rsidRDefault="00D34270" w:rsidP="00533DF6">
      <w:pPr>
        <w:ind w:right="-360"/>
      </w:pPr>
      <w:r w:rsidRPr="00D34270">
        <w:t>Intercollegiate athletic and other co-curricular programs (if offered) and related financial operations are consistent with the institution’s mission and conducted with appropriate institutional oversight. Admission requirements and procedures, academic standards, degree requirements, and financial aid awards for students participating in co-curricular programs are consistent with those for other students.</w:t>
      </w:r>
    </w:p>
    <w:p w:rsidR="00D0395F" w:rsidRDefault="00D0395F">
      <w:pPr>
        <w:spacing w:before="0" w:after="200" w:line="276" w:lineRule="auto"/>
      </w:pPr>
      <w:r>
        <w:br w:type="page"/>
      </w:r>
    </w:p>
    <w:p w:rsidR="00D34270" w:rsidRPr="00D34270" w:rsidRDefault="00D34270" w:rsidP="00533DF6">
      <w:pPr>
        <w:ind w:right="-360"/>
      </w:pPr>
      <w:proofErr w:type="gramStart"/>
      <w:r w:rsidRPr="00D34270">
        <w:lastRenderedPageBreak/>
        <w:t>2.D.14</w:t>
      </w:r>
      <w:proofErr w:type="gramEnd"/>
    </w:p>
    <w:p w:rsidR="00D34270" w:rsidRPr="00D34270" w:rsidRDefault="00D34270" w:rsidP="00533DF6">
      <w:pPr>
        <w:ind w:right="-360"/>
      </w:pPr>
      <w:r w:rsidRPr="00D34270">
        <w:t>The institution maintains an effective identity verification process for students enrolled in distance education courses and programs to establish that the student enrolled in the distance education course or program is the same person whose achievements are evaluated and credentialed. The institution ensures the identity verification process for distance education students protects student privacy and that students are informed, in writing at the time of enrollment, of current and projected charges associated with the identity verification process.</w:t>
      </w:r>
    </w:p>
    <w:sectPr w:rsidR="00D34270" w:rsidRPr="00D34270" w:rsidSect="000A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4E72"/>
    <w:multiLevelType w:val="hybridMultilevel"/>
    <w:tmpl w:val="9A7C0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73CE3"/>
    <w:multiLevelType w:val="hybridMultilevel"/>
    <w:tmpl w:val="B7B2B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70"/>
    <w:rsid w:val="000A6B00"/>
    <w:rsid w:val="004A637D"/>
    <w:rsid w:val="004B113B"/>
    <w:rsid w:val="00533DF6"/>
    <w:rsid w:val="0076094D"/>
    <w:rsid w:val="00784E3F"/>
    <w:rsid w:val="007A25BA"/>
    <w:rsid w:val="00A42662"/>
    <w:rsid w:val="00A75DEF"/>
    <w:rsid w:val="00B90E02"/>
    <w:rsid w:val="00BB15D4"/>
    <w:rsid w:val="00D0395F"/>
    <w:rsid w:val="00D34270"/>
    <w:rsid w:val="00E05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70"/>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70"/>
    <w:pPr>
      <w:spacing w:before="60" w:after="0" w:line="240" w:lineRule="auto"/>
    </w:pPr>
    <w:rPr>
      <w:rFonts w:ascii="Papyrus" w:hAnsi="Papyru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8945">
      <w:bodyDiv w:val="1"/>
      <w:marLeft w:val="0"/>
      <w:marRight w:val="0"/>
      <w:marTop w:val="0"/>
      <w:marBottom w:val="0"/>
      <w:divBdr>
        <w:top w:val="none" w:sz="0" w:space="0" w:color="auto"/>
        <w:left w:val="none" w:sz="0" w:space="0" w:color="auto"/>
        <w:bottom w:val="none" w:sz="0" w:space="0" w:color="auto"/>
        <w:right w:val="none" w:sz="0" w:space="0" w:color="auto"/>
      </w:divBdr>
    </w:div>
    <w:div w:id="10773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2011-08-11T21:47:00Z</dcterms:created>
  <dcterms:modified xsi:type="dcterms:W3CDTF">2011-08-11T21:47:00Z</dcterms:modified>
</cp:coreProperties>
</file>